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Meta"/>
        <w:spacing w:after="120"/>
      </w:pPr>
      <w:r>
        <w:rPr>
          <w:rFonts w:ascii="Noto Sans CJK SC" w:hAnsi="Noto Sans CJK SC" w:eastAsia="Noto Sans CJK SC" w:cs="Noto Sans CJK SC"/>
          <w:b/>
          <w:color w:val="B47B45"/>
          <w:sz w:val="19"/>
        </w:rPr>
        <w:t>US STO ISSUANCE COMPLIANCE  ·  2026-10-25</w:t>
      </w:r>
    </w:p>
    <w:p>
      <w:pPr>
        <w:pStyle w:val="Title"/>
        <w:spacing w:after="160" w:line="276" w:lineRule="auto"/>
      </w:pPr>
      <w:r>
        <w:rPr>
          <w:rFonts w:ascii="Noto Sans CJK SC" w:hAnsi="Noto Sans CJK SC" w:eastAsia="Noto Sans CJK SC" w:cs="Noto Sans CJK SC"/>
          <w:b/>
          <w:color w:val="102A43"/>
          <w:sz w:val="44"/>
        </w:rPr>
        <w:t>美国STO牌照申请：让代币化融资走上可验证的合规路径</w:t>
      </w:r>
    </w:p>
    <w:p>
      <w:pPr>
        <w:pStyle w:val="ArticleByline"/>
        <w:spacing w:after="280"/>
      </w:pPr>
      <w:r>
        <w:rPr>
          <w:rFonts w:ascii="Noto Sans CJK SC" w:hAnsi="Noto Sans CJK SC" w:eastAsia="Noto Sans CJK SC" w:cs="Noto Sans CJK SC"/>
          <w:color w:val="627D98"/>
          <w:sz w:val="19"/>
        </w:rPr>
        <w:t>仁港永胜（香港）有限公司拟定  ·  唐上永（唐生）专业讲解</w:t>
      </w:r>
    </w:p>
    <w:tbl>
      <w:tblPr>
        <w:tblW w:type="auto" w:w="0"/>
        <w:tblLook w:firstColumn="1" w:firstRow="1" w:lastColumn="0" w:lastRow="0" w:noHBand="0" w:noVBand="1" w:val="04A0"/>
      </w:tblPr>
      <w:tblGrid>
        <w:gridCol w:w="9638"/>
      </w:tblGrid>
      <w:tr>
        <w:tc>
          <w:tcPr>
            <w:tcW w:type="dxa" w:w="9638"/>
            <w:shd w:fill="F7F2E8"/>
            <w:tcBorders>
              <w:top w:val="nil"/>
              <w:left w:val="single" w:sz="20" w:color="B47B45"/>
              <w:bottom w:val="nil"/>
              <w:right w:val="nil"/>
            </w:tcBorders>
          </w:tcPr>
          <w:p>
            <w:pPr>
              <w:spacing w:before="0" w:after="120" w:line="372" w:lineRule="auto"/>
            </w:pPr>
            <w:r>
              <w:rPr>
                <w:rFonts w:ascii="Noto Sans CJK SC" w:hAnsi="Noto Sans CJK SC" w:eastAsia="Noto Sans CJK SC" w:cs="Noto Sans CJK SC"/>
                <w:color w:val="334E68"/>
                <w:sz w:val="21"/>
              </w:rPr>
              <w:t>对于准备以股权、债权、资产收益权或其他RWA权益融资的项目负责人，真正棘手的往往不是先选公链或制作白皮书，而是把投资者取得什么权利、向谁销售、如何传播、何时交割及其后如何转让，变成一套可审阅、可执行、可留痕的流程。</w:t>
            </w:r>
          </w:p>
          <w:p>
            <w:pPr>
              <w:spacing w:before="0" w:after="120" w:line="372" w:lineRule="auto"/>
            </w:pPr>
            <w:r>
              <w:rPr>
                <w:rFonts w:ascii="Noto Sans CJK SC" w:hAnsi="Noto Sans CJK SC" w:eastAsia="Noto Sans CJK SC" w:cs="Noto Sans CJK SC"/>
                <w:color w:val="334E68"/>
                <w:sz w:val="21"/>
              </w:rPr>
              <w:t>市场搜索中常见“美国STO牌照申请”“证券型代币发行”“美国STO申请条件”等说法，但美国并不存在一项覆盖所有代币化证券活动的统一独立STO牌照。若数字化权益属于证券，发行人仍须就具体要约与销售完成注册或适用可用豁免；发行、招揽、交易、托管和转让登记也可能由不同主体承担。</w:t>
            </w:r>
          </w:p>
          <w:p>
            <w:pPr>
              <w:spacing w:before="0" w:after="40" w:line="372" w:lineRule="auto"/>
            </w:pPr>
            <w:r>
              <w:rPr>
                <w:rFonts w:ascii="Noto Sans CJK SC" w:hAnsi="Noto Sans CJK SC" w:eastAsia="Noto Sans CJK SC" w:cs="Noto Sans CJK SC"/>
                <w:color w:val="334E68"/>
                <w:sz w:val="21"/>
              </w:rPr>
              <w:t>本文由仁港永胜（香港）有限公司拟定，唐上永（唐生）专业讲解，帮助项目团队先把需要决策的问题和可交付的工作包排清楚，再与具备相应资格的美国证券律师及受监管专业机构核实个案路径。</w:t>
            </w:r>
          </w:p>
        </w:tc>
      </w:tr>
    </w:tbl>
    <w:p>
      <w:pPr>
        <w:spacing w:after="20"/>
      </w:pPr>
    </w:p>
    <w:p>
      <w:pPr>
        <w:pStyle w:val="Heading1"/>
        <w:keepNext/>
        <w:spacing w:before="200" w:after="140"/>
      </w:pPr>
      <w:r>
        <w:rPr>
          <w:rFonts w:ascii="Noto Sans CJK SC" w:hAnsi="Noto Sans CJK SC" w:eastAsia="Noto Sans CJK SC" w:cs="Noto Sans CJK SC"/>
          <w:b/>
          <w:color w:val="102A43"/>
          <w:sz w:val="29"/>
        </w:rPr>
        <w:t>01  先校正一个关键前提：STO不是统一独立牌照</w:t>
      </w:r>
    </w:p>
    <w:p>
      <w:pPr>
        <w:spacing w:before="0" w:after="160" w:line="391" w:lineRule="auto"/>
      </w:pPr>
      <w:r>
        <w:rPr>
          <w:rFonts w:ascii="Noto Sans CJK SC" w:hAnsi="Noto Sans CJK SC" w:eastAsia="Noto Sans CJK SC" w:cs="Noto Sans CJK SC"/>
          <w:color w:val="334E68"/>
          <w:sz w:val="21"/>
        </w:rPr>
        <w:t>STO是市场沟通用语，不是SEC、FINRA或FinCEN设定的一张通用许可。代币可以记录股权、债权、收益权或其他证券权利，但链上记账不会替代证券属性、发行主体、投资者准入和反欺诈责任的分析。对发行人而言，起点是厘清权利而不是寻找一张“STO证书”。</w:t>
      </w:r>
    </w:p>
    <w:p>
      <w:pPr>
        <w:spacing w:before="0" w:after="160" w:line="391" w:lineRule="auto"/>
      </w:pPr>
      <w:r>
        <w:rPr>
          <w:rFonts w:ascii="Noto Sans CJK SC" w:hAnsi="Noto Sans CJK SC" w:eastAsia="Noto Sans CJK SC" w:cs="Noto Sans CJK SC"/>
          <w:color w:val="334E68"/>
          <w:sz w:val="21"/>
        </w:rPr>
        <w:t>实际规划应先区分注册发行与可用豁免，再评估Regulation D、Regulation S、Regulation A或Regulation Crowdfunding等具体路径。哪一项可用，取决于发行人资格、投资者、地域、营销方式、披露能力和后续义务；把“美国STO牌照申请”理解为一次性审批，容易在项目一开始就设错工作目标。</w:t>
      </w:r>
    </w:p>
    <w:tbl>
      <w:tblPr>
        <w:tblW w:type="auto" w:w="0"/>
        <w:tblLayout w:type="fixed"/>
        <w:tblLook w:firstColumn="1" w:firstRow="1" w:lastColumn="0" w:lastRow="0" w:noHBand="0" w:noVBand="1" w:val="04A0"/>
      </w:tblPr>
      <w:tblGrid>
        <w:gridCol w:w="9638"/>
      </w:tblGrid>
      <w:tr>
        <w:tc>
          <w:tcPr>
            <w:tcW w:type="dxa" w:w="9638"/>
            <w:vAlign w:val="center"/>
            <w:shd w:fill="F7F2E8"/>
            <w:tcBorders>
              <w:top w:val="nil"/>
              <w:left w:val="single" w:sz="18" w:color="B47B45"/>
              <w:bottom w:val="nil"/>
              <w:right w:val="nil"/>
            </w:tcBorders>
          </w:tcPr>
          <w:p>
            <w:pPr>
              <w:spacing w:after="40"/>
            </w:pPr>
            <w:r>
              <w:rPr>
                <w:rFonts w:ascii="Noto Sans CJK SC" w:hAnsi="Noto Sans CJK SC" w:eastAsia="Noto Sans CJK SC" w:cs="Noto Sans CJK SC"/>
                <w:b/>
                <w:color w:val="B47B45"/>
                <w:sz w:val="19"/>
              </w:rPr>
              <w:t xml:space="preserve">相关阅读与下载  </w:t>
            </w:r>
            <w:r>
              <w:rPr>
                <w:rFonts w:ascii="Noto Sans CJK SC" w:hAnsi="Noto Sans CJK SC" w:eastAsia="Noto Sans CJK SC" w:cs="Noto Sans CJK SC"/>
                <w:color w:val="334E68"/>
                <w:sz w:val="19"/>
              </w:rPr>
              <w:t>阅读美国STO发行合规申请服务：https://sto-us.com/application</w:t>
            </w:r>
            <w:r>
              <w:rPr>
                <w:rFonts w:ascii="Noto Sans CJK SC" w:hAnsi="Noto Sans CJK SC" w:eastAsia="Noto Sans CJK SC" w:cs="Noto Sans CJK SC"/>
                <w:color w:val="627D98"/>
                <w:sz w:val="19"/>
              </w:rPr>
              <w:t xml:space="preserve">  ·  </w:t>
            </w:r>
            <w:r>
              <w:rPr>
                <w:rFonts w:ascii="Noto Sans CJK SC" w:hAnsi="Noto Sans CJK SC" w:eastAsia="Noto Sans CJK SC" w:cs="Noto Sans CJK SC"/>
                <w:color w:val="334E68"/>
                <w:sz w:val="19"/>
              </w:rPr>
              <w:t>阅读美国STO发行合规完整指南：https://sto-us.com/guide</w:t>
            </w:r>
          </w:p>
        </w:tc>
      </w:tr>
    </w:tbl>
    <w:p>
      <w:pPr>
        <w:spacing w:after="40" w:before="0"/>
      </w:pPr>
    </w:p>
    <w:p>
      <w:pPr>
        <w:pStyle w:val="Heading1"/>
        <w:keepNext/>
        <w:spacing w:before="200" w:after="140"/>
      </w:pPr>
      <w:r>
        <w:rPr>
          <w:rFonts w:ascii="Noto Sans CJK SC" w:hAnsi="Noto Sans CJK SC" w:eastAsia="Noto Sans CJK SC" w:cs="Noto Sans CJK SC"/>
          <w:b/>
          <w:color w:val="102A43"/>
          <w:sz w:val="29"/>
        </w:rPr>
        <w:t>02  从资产权益出发，而不是从代币名称出发</w:t>
      </w:r>
    </w:p>
    <w:p>
      <w:pPr>
        <w:spacing w:before="0" w:after="160" w:line="391" w:lineRule="auto"/>
      </w:pPr>
      <w:r>
        <w:rPr>
          <w:rFonts w:ascii="Noto Sans CJK SC" w:hAnsi="Noto Sans CJK SC" w:eastAsia="Noto Sans CJK SC" w:cs="Noto Sans CJK SC"/>
          <w:color w:val="334E68"/>
          <w:sz w:val="21"/>
        </w:rPr>
        <w:t>无论项目拟代币化的是公司股权、债券、基金份额、租金收益、应收账款，还是其他RWA权益，团队都应先回答：发行人或SPV是谁，资产权属和优先顺位如何，持有人获得何种经济、表决、赎回或转换权利，出现违约时如何救济。认购协议、风险披露、持有人名册与链上展示不能各说各话。</w:t>
      </w:r>
    </w:p>
    <w:p>
      <w:pPr>
        <w:spacing w:before="0" w:after="160" w:line="391" w:lineRule="auto"/>
      </w:pPr>
      <w:r>
        <w:rPr>
          <w:rFonts w:ascii="Noto Sans CJK SC" w:hAnsi="Noto Sans CJK SC" w:eastAsia="Noto Sans CJK SC" w:cs="Noto Sans CJK SC"/>
          <w:color w:val="334E68"/>
          <w:sz w:val="21"/>
        </w:rPr>
        <w:t>这一步会直接影响美国STO申请条件的判断。以技术白皮书替代证券披露，或把钱包地址视作完整投资者档案，都会让后续的核验、转让与争议处理缺少依据。仁港永胜可协助把主体结构、权利流向、资产证明、资金用途和责任边界整理成供律师、审计及中介机构审阅的信息底稿。</w:t>
      </w:r>
    </w:p>
    <w:tbl>
      <w:tblPr>
        <w:tblW w:type="auto" w:w="0"/>
        <w:tblLayout w:type="fixed"/>
        <w:tblLook w:firstColumn="1" w:firstRow="1" w:lastColumn="0" w:lastRow="0" w:noHBand="0" w:noVBand="1" w:val="04A0"/>
      </w:tblPr>
      <w:tblGrid>
        <w:gridCol w:w="9638"/>
      </w:tblGrid>
      <w:tr>
        <w:tc>
          <w:tcPr>
            <w:tcW w:type="dxa" w:w="9638"/>
            <w:vAlign w:val="center"/>
            <w:shd w:fill="F7F2E8"/>
            <w:tcBorders>
              <w:top w:val="nil"/>
              <w:left w:val="single" w:sz="18" w:color="B47B45"/>
              <w:bottom w:val="nil"/>
              <w:right w:val="nil"/>
            </w:tcBorders>
          </w:tcPr>
          <w:p>
            <w:pPr>
              <w:spacing w:after="40"/>
            </w:pPr>
            <w:r>
              <w:rPr>
                <w:rFonts w:ascii="Noto Sans CJK SC" w:hAnsi="Noto Sans CJK SC" w:eastAsia="Noto Sans CJK SC" w:cs="Noto Sans CJK SC"/>
                <w:b/>
                <w:color w:val="B47B45"/>
                <w:sz w:val="19"/>
              </w:rPr>
              <w:t xml:space="preserve">相关阅读与下载  </w:t>
            </w:r>
            <w:r>
              <w:rPr>
                <w:rFonts w:ascii="Noto Sans CJK SC" w:hAnsi="Noto Sans CJK SC" w:eastAsia="Noto Sans CJK SC" w:cs="Noto Sans CJK SC"/>
                <w:color w:val="334E68"/>
                <w:sz w:val="19"/>
              </w:rPr>
              <w:t>查看发行人准备工作与资料范围：https://sto-us.com/application</w:t>
            </w:r>
            <w:r>
              <w:rPr>
                <w:rFonts w:ascii="Noto Sans CJK SC" w:hAnsi="Noto Sans CJK SC" w:eastAsia="Noto Sans CJK SC" w:cs="Noto Sans CJK SC"/>
                <w:color w:val="627D98"/>
                <w:sz w:val="19"/>
              </w:rPr>
              <w:t xml:space="preserve">  ·  </w:t>
            </w:r>
            <w:r>
              <w:rPr>
                <w:rFonts w:ascii="Noto Sans CJK SC" w:hAnsi="Noto Sans CJK SC" w:eastAsia="Noto Sans CJK SC" w:cs="Noto Sans CJK SC"/>
                <w:color w:val="334E68"/>
                <w:sz w:val="19"/>
              </w:rPr>
              <w:t>下载美国STO项目资料与官方来源入口：https://sto-us.com/resources</w:t>
            </w:r>
          </w:p>
        </w:tc>
      </w:tr>
    </w:tbl>
    <w:p>
      <w:pPr>
        <w:spacing w:after="40" w:before="0"/>
      </w:pPr>
    </w:p>
    <w:p>
      <w:pPr>
        <w:pStyle w:val="Heading1"/>
        <w:keepNext/>
        <w:spacing w:before="200" w:after="140"/>
      </w:pPr>
      <w:r>
        <w:rPr>
          <w:rFonts w:ascii="Noto Sans CJK SC" w:hAnsi="Noto Sans CJK SC" w:eastAsia="Noto Sans CJK SC" w:cs="Noto Sans CJK SC"/>
          <w:b/>
          <w:color w:val="102A43"/>
          <w:sz w:val="29"/>
        </w:rPr>
        <w:t>03  发行路径与营销动作，必须在同一张路线图上规划</w:t>
      </w:r>
    </w:p>
    <w:p>
      <w:pPr>
        <w:spacing w:before="0" w:after="160" w:line="391" w:lineRule="auto"/>
      </w:pPr>
      <w:r>
        <w:rPr>
          <w:rFonts w:ascii="Noto Sans CJK SC" w:hAnsi="Noto Sans CJK SC" w:eastAsia="Noto Sans CJK SC" w:cs="Noto Sans CJK SC"/>
          <w:color w:val="334E68"/>
          <w:sz w:val="21"/>
        </w:rPr>
        <w:t>Rule 506(b)通常不允许一般性招揽；Rule 506(c)可以一般性招揽，但实际购买者须为合格投资者且发行人须采取合理核验步骤。Regulation S关注离岸交易和不在美国进行定向销售努力；Regulation A与Reg CF则各有发行人资格、披露、平台或持续报告框架。路径不同，网站文案、路演对象、白名单、认购入口和留痕方式也应随之变化。</w:t>
      </w:r>
    </w:p>
    <w:p>
      <w:pPr>
        <w:spacing w:before="0" w:after="160" w:line="391" w:lineRule="auto"/>
      </w:pPr>
      <w:r>
        <w:rPr>
          <w:rFonts w:ascii="Noto Sans CJK SC" w:hAnsi="Noto Sans CJK SC" w:eastAsia="Noto Sans CJK SC" w:cs="Noto Sans CJK SC"/>
          <w:color w:val="334E68"/>
          <w:sz w:val="21"/>
        </w:rPr>
        <w:t>尤其要避免把文件提交当作批准。以Regulation D为例，Form D是首次销售后按规则提交的豁免发行通知，不是SEC注册或批准；EDGAR出现文件也不代表项目、融资或投资价值获得监管背书。营销前先把路径假设、可接触对象、材料版本、地域限制和复核闸门锁定，远比事后修补更有价值。</w:t>
      </w:r>
    </w:p>
    <w:tbl>
      <w:tblPr>
        <w:tblW w:type="auto" w:w="0"/>
        <w:tblLayout w:type="fixed"/>
        <w:tblLook w:firstColumn="1" w:firstRow="1" w:lastColumn="0" w:lastRow="0" w:noHBand="0" w:noVBand="1" w:val="04A0"/>
      </w:tblPr>
      <w:tblGrid>
        <w:gridCol w:w="9638"/>
      </w:tblGrid>
      <w:tr>
        <w:tc>
          <w:tcPr>
            <w:tcW w:type="dxa" w:w="9638"/>
            <w:vAlign w:val="center"/>
            <w:shd w:fill="F7F2E8"/>
            <w:tcBorders>
              <w:top w:val="nil"/>
              <w:left w:val="single" w:sz="18" w:color="B47B45"/>
              <w:bottom w:val="nil"/>
              <w:right w:val="nil"/>
            </w:tcBorders>
          </w:tcPr>
          <w:p>
            <w:pPr>
              <w:spacing w:after="40"/>
            </w:pPr>
            <w:r>
              <w:rPr>
                <w:rFonts w:ascii="Noto Sans CJK SC" w:hAnsi="Noto Sans CJK SC" w:eastAsia="Noto Sans CJK SC" w:cs="Noto Sans CJK SC"/>
                <w:b/>
                <w:color w:val="B47B45"/>
                <w:sz w:val="19"/>
              </w:rPr>
              <w:t xml:space="preserve">相关阅读与下载  </w:t>
            </w:r>
            <w:r>
              <w:rPr>
                <w:rFonts w:ascii="Noto Sans CJK SC" w:hAnsi="Noto Sans CJK SC" w:eastAsia="Noto Sans CJK SC" w:cs="Noto Sans CJK SC"/>
                <w:color w:val="334E68"/>
                <w:sz w:val="19"/>
              </w:rPr>
              <w:t>了解Regulation D、Regulation S与公开路径差异：https://sto-us.com/guide</w:t>
            </w:r>
            <w:r>
              <w:rPr>
                <w:rFonts w:ascii="Noto Sans CJK SC" w:hAnsi="Noto Sans CJK SC" w:eastAsia="Noto Sans CJK SC" w:cs="Noto Sans CJK SC"/>
                <w:color w:val="627D98"/>
                <w:sz w:val="19"/>
              </w:rPr>
              <w:t xml:space="preserve">  ·  </w:t>
            </w:r>
            <w:r>
              <w:rPr>
                <w:rFonts w:ascii="Noto Sans CJK SC" w:hAnsi="Noto Sans CJK SC" w:eastAsia="Noto Sans CJK SC" w:cs="Noto Sans CJK SC"/>
                <w:color w:val="334E68"/>
                <w:sz w:val="19"/>
              </w:rPr>
              <w:t>查阅SEC官方资料和项目下载入口：https://sto-us.com/resources</w:t>
            </w:r>
          </w:p>
        </w:tc>
      </w:tr>
    </w:tbl>
    <w:p>
      <w:pPr>
        <w:spacing w:after="40" w:before="0"/>
      </w:pPr>
    </w:p>
    <w:p>
      <w:pPr>
        <w:pStyle w:val="Heading1"/>
        <w:keepNext/>
        <w:spacing w:before="200" w:after="140"/>
      </w:pPr>
      <w:r>
        <w:rPr>
          <w:rFonts w:ascii="Noto Sans CJK SC" w:hAnsi="Noto Sans CJK SC" w:eastAsia="Noto Sans CJK SC" w:cs="Noto Sans CJK SC"/>
          <w:b/>
          <w:color w:val="102A43"/>
          <w:sz w:val="29"/>
        </w:rPr>
        <w:t>04  把合规要求拆成团队能执行的工作交付</w:t>
      </w:r>
    </w:p>
    <w:p>
      <w:pPr>
        <w:spacing w:before="0" w:after="160" w:line="391" w:lineRule="auto"/>
      </w:pPr>
      <w:r>
        <w:rPr>
          <w:rFonts w:ascii="Noto Sans CJK SC" w:hAnsi="Noto Sans CJK SC" w:eastAsia="Noto Sans CJK SC" w:cs="Noto Sans CJK SC"/>
          <w:color w:val="334E68"/>
          <w:sz w:val="21"/>
        </w:rPr>
        <w:t>好的证券型代币发行准备，不是交付一份泛化的“合规方案”，而是形成可分工的资料清单和控制矩阵：主体及资产证据、证券权利说明、风险因素、投资者分类与核验记录、营销审阅流程、认购与交割条件、申报日历、持有人名册以及转让限制。每一项都应明确责任人、触发时点和留存证据。</w:t>
      </w:r>
    </w:p>
    <w:p>
      <w:pPr>
        <w:spacing w:before="0" w:after="160" w:line="391" w:lineRule="auto"/>
      </w:pPr>
      <w:r>
        <w:rPr>
          <w:rFonts w:ascii="Noto Sans CJK SC" w:hAnsi="Noto Sans CJK SC" w:eastAsia="Noto Sans CJK SC" w:cs="Noto Sans CJK SC"/>
          <w:color w:val="334E68"/>
          <w:sz w:val="21"/>
        </w:rPr>
        <w:t>仁港永胜的工作重点是协助发行人组织资料、比对路径、协调专业分工，并把美国证券律师、会计师、注册中介、转让代理、托管或技术供应商需要回答的问题前置。我们不以一纸模板代替法律意见，也不把项目上线、智能合约部署或文件提交宣传为合规完成。</w:t>
      </w:r>
    </w:p>
    <w:tbl>
      <w:tblPr>
        <w:tblW w:type="auto" w:w="0"/>
        <w:tblLayout w:type="fixed"/>
        <w:tblLook w:firstColumn="1" w:firstRow="1" w:lastColumn="0" w:lastRow="0" w:noHBand="0" w:noVBand="1" w:val="04A0"/>
      </w:tblPr>
      <w:tblGrid>
        <w:gridCol w:w="9638"/>
      </w:tblGrid>
      <w:tr>
        <w:tc>
          <w:tcPr>
            <w:tcW w:type="dxa" w:w="9638"/>
            <w:vAlign w:val="center"/>
            <w:shd w:fill="F7F2E8"/>
            <w:tcBorders>
              <w:top w:val="nil"/>
              <w:left w:val="single" w:sz="18" w:color="B47B45"/>
              <w:bottom w:val="nil"/>
              <w:right w:val="nil"/>
            </w:tcBorders>
          </w:tcPr>
          <w:p>
            <w:pPr>
              <w:spacing w:after="40"/>
            </w:pPr>
            <w:r>
              <w:rPr>
                <w:rFonts w:ascii="Noto Sans CJK SC" w:hAnsi="Noto Sans CJK SC" w:eastAsia="Noto Sans CJK SC" w:cs="Noto Sans CJK SC"/>
                <w:b/>
                <w:color w:val="B47B45"/>
                <w:sz w:val="19"/>
              </w:rPr>
              <w:t xml:space="preserve">相关阅读与下载  </w:t>
            </w:r>
            <w:r>
              <w:rPr>
                <w:rFonts w:ascii="Noto Sans CJK SC" w:hAnsi="Noto Sans CJK SC" w:eastAsia="Noto Sans CJK SC" w:cs="Noto Sans CJK SC"/>
                <w:color w:val="334E68"/>
                <w:sz w:val="19"/>
              </w:rPr>
              <w:t>查看发行合规工作包的服务边界：https://sto-us.com/application</w:t>
            </w:r>
            <w:r>
              <w:rPr>
                <w:rFonts w:ascii="Noto Sans CJK SC" w:hAnsi="Noto Sans CJK SC" w:eastAsia="Noto Sans CJK SC" w:cs="Noto Sans CJK SC"/>
                <w:color w:val="627D98"/>
                <w:sz w:val="19"/>
              </w:rPr>
              <w:t xml:space="preserve">  ·  </w:t>
            </w:r>
            <w:r>
              <w:rPr>
                <w:rFonts w:ascii="Noto Sans CJK SC" w:hAnsi="Noto Sans CJK SC" w:eastAsia="Noto Sans CJK SC" w:cs="Noto Sans CJK SC"/>
                <w:color w:val="334E68"/>
                <w:sz w:val="19"/>
              </w:rPr>
              <w:t>了解持续申报与技术合规安排：https://sto-us.com/compliance</w:t>
            </w:r>
          </w:p>
        </w:tc>
      </w:tr>
    </w:tbl>
    <w:p>
      <w:pPr>
        <w:spacing w:after="40" w:before="0"/>
      </w:pPr>
    </w:p>
    <w:p>
      <w:pPr>
        <w:pStyle w:val="Heading1"/>
        <w:keepNext/>
        <w:spacing w:before="200" w:after="140"/>
      </w:pPr>
      <w:r>
        <w:rPr>
          <w:rFonts w:ascii="Noto Sans CJK SC" w:hAnsi="Noto Sans CJK SC" w:eastAsia="Noto Sans CJK SC" w:cs="Noto Sans CJK SC"/>
          <w:b/>
          <w:color w:val="102A43"/>
          <w:sz w:val="29"/>
        </w:rPr>
        <w:t>05  发行完成，不等于可以自动撮合、交易或托管</w:t>
      </w:r>
    </w:p>
    <w:p>
      <w:pPr>
        <w:spacing w:before="0" w:after="160" w:line="391" w:lineRule="auto"/>
      </w:pPr>
      <w:r>
        <w:rPr>
          <w:rFonts w:ascii="Noto Sans CJK SC" w:hAnsi="Noto Sans CJK SC" w:eastAsia="Noto Sans CJK SC" w:cs="Noto Sans CJK SC"/>
          <w:color w:val="334E68"/>
          <w:sz w:val="21"/>
        </w:rPr>
        <w:t>发行豁免和中介准入是两条不同的分析线。为他人招揽或撮合证券、运营可能构成交易场所的系统、持有客户证券、维护证券持有人名册，分别可能涉及经纪交易商、ATS、托管、转让代理或其他监管要求。Form ATS属于特定框架下的通知，并不是可脱离经纪交易商而单独购买的预先批准。</w:t>
      </w:r>
    </w:p>
    <w:p>
      <w:pPr>
        <w:spacing w:before="0" w:after="160" w:line="391" w:lineRule="auto"/>
      </w:pPr>
      <w:r>
        <w:rPr>
          <w:rFonts w:ascii="Noto Sans CJK SC" w:hAnsi="Noto Sans CJK SC" w:eastAsia="Noto Sans CJK SC" w:cs="Noto Sans CJK SC"/>
          <w:color w:val="334E68"/>
          <w:sz w:val="21"/>
        </w:rPr>
        <w:t>同样，收购现有机构或接入服务商，也不自动扩大经营范围。现有经纪交易商的会员资格、成员协议、州登记和实际业务范围需要逐项核对；重大业务、所有权或控制权变化还可能涉及FINRA的持续会员申请安排。项目负责人应将二级转售、交易场所、客户资产和名册职责单独列为决策事项，而不是把它们并入“发币后自然实现”的结果。</w:t>
      </w:r>
    </w:p>
    <w:tbl>
      <w:tblPr>
        <w:tblW w:type="auto" w:w="0"/>
        <w:tblLayout w:type="fixed"/>
        <w:tblLook w:firstColumn="1" w:firstRow="1" w:lastColumn="0" w:lastRow="0" w:noHBand="0" w:noVBand="1" w:val="04A0"/>
      </w:tblPr>
      <w:tblGrid>
        <w:gridCol w:w="9638"/>
      </w:tblGrid>
      <w:tr>
        <w:tc>
          <w:tcPr>
            <w:tcW w:type="dxa" w:w="9638"/>
            <w:vAlign w:val="center"/>
            <w:shd w:fill="F7F2E8"/>
            <w:tcBorders>
              <w:top w:val="nil"/>
              <w:left w:val="single" w:sz="18" w:color="B47B45"/>
              <w:bottom w:val="nil"/>
              <w:right w:val="nil"/>
            </w:tcBorders>
          </w:tcPr>
          <w:p>
            <w:pPr>
              <w:spacing w:after="40"/>
            </w:pPr>
            <w:r>
              <w:rPr>
                <w:rFonts w:ascii="Noto Sans CJK SC" w:hAnsi="Noto Sans CJK SC" w:eastAsia="Noto Sans CJK SC" w:cs="Noto Sans CJK SC"/>
                <w:b/>
                <w:color w:val="B47B45"/>
                <w:sz w:val="19"/>
              </w:rPr>
              <w:t xml:space="preserve">相关阅读与下载  </w:t>
            </w:r>
            <w:r>
              <w:rPr>
                <w:rFonts w:ascii="Noto Sans CJK SC" w:hAnsi="Noto Sans CJK SC" w:eastAsia="Noto Sans CJK SC" w:cs="Noto Sans CJK SC"/>
                <w:color w:val="334E68"/>
                <w:sz w:val="19"/>
              </w:rPr>
              <w:t>阅读BD、ATS与相关中介准入说明：https://sto-us.com/intermediaries</w:t>
            </w:r>
            <w:r>
              <w:rPr>
                <w:rFonts w:ascii="Noto Sans CJK SC" w:hAnsi="Noto Sans CJK SC" w:eastAsia="Noto Sans CJK SC" w:cs="Noto Sans CJK SC"/>
                <w:color w:val="627D98"/>
                <w:sz w:val="19"/>
              </w:rPr>
              <w:t xml:space="preserve">  ·  </w:t>
            </w:r>
            <w:r>
              <w:rPr>
                <w:rFonts w:ascii="Noto Sans CJK SC" w:hAnsi="Noto Sans CJK SC" w:eastAsia="Noto Sans CJK SC" w:cs="Noto Sans CJK SC"/>
                <w:color w:val="334E68"/>
                <w:sz w:val="19"/>
              </w:rPr>
              <w:t>查看持有人记录、托管与变更管理要点：https://sto-us.com/compliance</w:t>
            </w:r>
          </w:p>
        </w:tc>
      </w:tr>
    </w:tbl>
    <w:p>
      <w:pPr>
        <w:spacing w:after="40" w:before="0"/>
      </w:pPr>
    </w:p>
    <w:p>
      <w:pPr>
        <w:pStyle w:val="Heading1"/>
        <w:keepNext/>
        <w:spacing w:before="200" w:after="140"/>
      </w:pPr>
      <w:r>
        <w:rPr>
          <w:rFonts w:ascii="Noto Sans CJK SC" w:hAnsi="Noto Sans CJK SC" w:eastAsia="Noto Sans CJK SC" w:cs="Noto Sans CJK SC"/>
          <w:b/>
          <w:color w:val="102A43"/>
          <w:sz w:val="29"/>
        </w:rPr>
        <w:t>06  可验证的路径，也要如实面对风险和边界</w:t>
      </w:r>
    </w:p>
    <w:p>
      <w:pPr>
        <w:spacing w:before="0" w:after="160" w:line="391" w:lineRule="auto"/>
      </w:pPr>
      <w:r>
        <w:rPr>
          <w:rFonts w:ascii="Noto Sans CJK SC" w:hAnsi="Noto Sans CJK SC" w:eastAsia="Noto Sans CJK SC" w:cs="Noto Sans CJK SC"/>
          <w:color w:val="334E68"/>
          <w:sz w:val="21"/>
        </w:rPr>
        <w:t>证券型代币项目的风险不只来自监管口径变化，也来自权利与资产不一致、营销越界、投资者核验不足、跨境销售控制失效、披露遗漏、转让限制未落地以及供应商职责不清。豁免发行仍受反欺诈规则约束；技术安排可以帮助执行权限控制，却不能替代对事实、文件和适用规则的判断。</w:t>
      </w:r>
    </w:p>
    <w:p>
      <w:pPr>
        <w:spacing w:before="0" w:after="160" w:line="391" w:lineRule="auto"/>
      </w:pPr>
      <w:r>
        <w:rPr>
          <w:rFonts w:ascii="Noto Sans CJK SC" w:hAnsi="Noto Sans CJK SC" w:eastAsia="Noto Sans CJK SC" w:cs="Noto Sans CJK SC"/>
          <w:color w:val="334E68"/>
          <w:sz w:val="21"/>
        </w:rPr>
        <w:t>因此，我们不会承诺SEC批准、融资成功、上市、二级流动性或固定工期，也不会把监管资格生效、通知文件、平台接入或机构收购描述为结果保证。更稳妥的目标是，让关键假设、待补资料、专业意见、申报时点与变更条件在项目推进中持续可见、可复核。</w:t>
      </w:r>
    </w:p>
    <w:tbl>
      <w:tblPr>
        <w:tblW w:type="auto" w:w="0"/>
        <w:tblLayout w:type="fixed"/>
        <w:tblLook w:firstColumn="1" w:firstRow="1" w:lastColumn="0" w:lastRow="0" w:noHBand="0" w:noVBand="1" w:val="04A0"/>
      </w:tblPr>
      <w:tblGrid>
        <w:gridCol w:w="9638"/>
      </w:tblGrid>
      <w:tr>
        <w:tc>
          <w:tcPr>
            <w:tcW w:type="dxa" w:w="9638"/>
            <w:vAlign w:val="center"/>
            <w:shd w:fill="F7F2E8"/>
            <w:tcBorders>
              <w:top w:val="nil"/>
              <w:left w:val="single" w:sz="18" w:color="B47B45"/>
              <w:bottom w:val="nil"/>
              <w:right w:val="nil"/>
            </w:tcBorders>
          </w:tcPr>
          <w:p>
            <w:pPr>
              <w:spacing w:after="40"/>
            </w:pPr>
            <w:r>
              <w:rPr>
                <w:rFonts w:ascii="Noto Sans CJK SC" w:hAnsi="Noto Sans CJK SC" w:eastAsia="Noto Sans CJK SC" w:cs="Noto Sans CJK SC"/>
                <w:b/>
                <w:color w:val="B47B45"/>
                <w:sz w:val="19"/>
              </w:rPr>
              <w:t xml:space="preserve">相关阅读与下载  </w:t>
            </w:r>
            <w:r>
              <w:rPr>
                <w:rFonts w:ascii="Noto Sans CJK SC" w:hAnsi="Noto Sans CJK SC" w:eastAsia="Noto Sans CJK SC" w:cs="Noto Sans CJK SC"/>
                <w:color w:val="334E68"/>
                <w:sz w:val="19"/>
              </w:rPr>
              <w:t>阅读持续合规与变更管理服务：https://sto-us.com/compliance</w:t>
            </w:r>
            <w:r>
              <w:rPr>
                <w:rFonts w:ascii="Noto Sans CJK SC" w:hAnsi="Noto Sans CJK SC" w:eastAsia="Noto Sans CJK SC" w:cs="Noto Sans CJK SC"/>
                <w:color w:val="627D98"/>
                <w:sz w:val="19"/>
              </w:rPr>
              <w:t xml:space="preserve">  ·  </w:t>
            </w:r>
            <w:r>
              <w:rPr>
                <w:rFonts w:ascii="Noto Sans CJK SC" w:hAnsi="Noto Sans CJK SC" w:eastAsia="Noto Sans CJK SC" w:cs="Noto Sans CJK SC"/>
                <w:color w:val="334E68"/>
                <w:sz w:val="19"/>
              </w:rPr>
              <w:t>访问美国STO官方来源与下载中心：https://sto-us.com/resources</w:t>
            </w:r>
          </w:p>
        </w:tc>
      </w:tr>
    </w:tbl>
    <w:p>
      <w:pPr>
        <w:spacing w:after="40" w:before="0"/>
      </w:pPr>
    </w:p>
    <w:p>
      <w:pPr>
        <w:pStyle w:val="Heading1"/>
        <w:keepNext/>
        <w:spacing w:before="200" w:after="140"/>
      </w:pPr>
      <w:r>
        <w:rPr>
          <w:rFonts w:ascii="Noto Sans CJK SC" w:hAnsi="Noto Sans CJK SC" w:eastAsia="Noto Sans CJK SC" w:cs="Noto Sans CJK SC"/>
          <w:b/>
          <w:color w:val="102A43"/>
          <w:sz w:val="29"/>
        </w:rPr>
        <w:t>07  首次咨询前，准备六类信息可明显提高沟通效率</w:t>
      </w:r>
    </w:p>
    <w:p>
      <w:pPr>
        <w:spacing w:before="0" w:after="160" w:line="391" w:lineRule="auto"/>
      </w:pPr>
      <w:r>
        <w:rPr>
          <w:rFonts w:ascii="Noto Sans CJK SC" w:hAnsi="Noto Sans CJK SC" w:eastAsia="Noto Sans CJK SC" w:cs="Noto Sans CJK SC"/>
          <w:color w:val="334E68"/>
          <w:sz w:val="21"/>
        </w:rPr>
        <w:t>建议项目负责人先准备：一是发行主体、SPV和最终控制人的基本情况；二是拟代币化资产或业务及权属资料；三是投资者地区、目标人数、融资目标与是否公开传播；四是拟授予的股权、债权、收益、表决、赎回或转换权利；五是现有白皮书、路演材料、认购文件和财务资料；六是已接触的律师、审计师、经纪交易商、平台、托管或技术服务商。无需在首次沟通发送身份证明、钱包私钥、密码或投资者敏感档案。</w:t>
      </w:r>
    </w:p>
    <w:p>
      <w:pPr>
        <w:spacing w:before="0" w:after="160" w:line="391" w:lineRule="auto"/>
      </w:pPr>
      <w:r>
        <w:rPr>
          <w:rFonts w:ascii="Noto Sans CJK SC" w:hAnsi="Noto Sans CJK SC" w:eastAsia="Noto Sans CJK SC" w:cs="Noto Sans CJK SC"/>
          <w:color w:val="334E68"/>
          <w:sz w:val="21"/>
        </w:rPr>
        <w:t>唐生可据此与您梳理优先问题、资料缺口和下一轮专业协调事项。若您正评估美国STO牌照申请、证券型代币发行或RWA合规，请先通过官网阅读服务说明并下载项目资料，再联系仁港永胜预约一次基于真实业务模型的初步交流。</w:t>
      </w:r>
    </w:p>
    <w:tbl>
      <w:tblPr>
        <w:tblW w:type="auto" w:w="0"/>
        <w:tblLayout w:type="fixed"/>
        <w:tblLook w:firstColumn="1" w:firstRow="1" w:lastColumn="0" w:lastRow="0" w:noHBand="0" w:noVBand="1" w:val="04A0"/>
      </w:tblPr>
      <w:tblGrid>
        <w:gridCol w:w="9638"/>
      </w:tblGrid>
      <w:tr>
        <w:tc>
          <w:tcPr>
            <w:tcW w:type="dxa" w:w="9638"/>
            <w:vAlign w:val="center"/>
            <w:shd w:fill="F7F2E8"/>
            <w:tcBorders>
              <w:top w:val="nil"/>
              <w:left w:val="single" w:sz="18" w:color="B47B45"/>
              <w:bottom w:val="nil"/>
              <w:right w:val="nil"/>
            </w:tcBorders>
          </w:tcPr>
          <w:p>
            <w:pPr>
              <w:spacing w:after="40"/>
            </w:pPr>
            <w:r>
              <w:rPr>
                <w:rFonts w:ascii="Noto Sans CJK SC" w:hAnsi="Noto Sans CJK SC" w:eastAsia="Noto Sans CJK SC" w:cs="Noto Sans CJK SC"/>
                <w:b/>
                <w:color w:val="B47B45"/>
                <w:sz w:val="19"/>
              </w:rPr>
              <w:t xml:space="preserve">相关阅读与下载  </w:t>
            </w:r>
            <w:r>
              <w:rPr>
                <w:rFonts w:ascii="Noto Sans CJK SC" w:hAnsi="Noto Sans CJK SC" w:eastAsia="Noto Sans CJK SC" w:cs="Noto Sans CJK SC"/>
                <w:color w:val="334E68"/>
                <w:sz w:val="19"/>
              </w:rPr>
              <w:t>前往美国STO来源与项目下载中心：https://sto-us.com/resources</w:t>
            </w:r>
            <w:r>
              <w:rPr>
                <w:rFonts w:ascii="Noto Sans CJK SC" w:hAnsi="Noto Sans CJK SC" w:eastAsia="Noto Sans CJK SC" w:cs="Noto Sans CJK SC"/>
                <w:color w:val="627D98"/>
                <w:sz w:val="19"/>
              </w:rPr>
              <w:t xml:space="preserve">  ·  </w:t>
            </w:r>
            <w:r>
              <w:rPr>
                <w:rFonts w:ascii="Noto Sans CJK SC" w:hAnsi="Noto Sans CJK SC" w:eastAsia="Noto Sans CJK SC" w:cs="Noto Sans CJK SC"/>
                <w:color w:val="334E68"/>
                <w:sz w:val="19"/>
              </w:rPr>
              <w:t>阅读美国STO发行合规申请说明：https://sto-us.com/application</w:t>
            </w:r>
          </w:p>
        </w:tc>
      </w:tr>
    </w:tbl>
    <w:p>
      <w:pPr>
        <w:spacing w:after="40" w:before="0"/>
      </w:pPr>
    </w:p>
    <w:p>
      <w:pPr>
        <w:pStyle w:val="Heading1"/>
        <w:spacing w:before="200" w:after="120"/>
      </w:pPr>
      <w:r>
        <w:rPr>
          <w:rFonts w:ascii="Noto Sans CJK SC" w:hAnsi="Noto Sans CJK SC" w:eastAsia="Noto Sans CJK SC" w:cs="Noto Sans CJK SC"/>
          <w:b/>
          <w:color w:val="102A43"/>
          <w:sz w:val="29"/>
        </w:rPr>
        <w:t>官方资料依据</w:t>
      </w:r>
    </w:p>
    <w:p>
      <w:pPr>
        <w:pStyle w:val="ListBullet"/>
        <w:spacing w:before="0" w:after="60" w:line="312" w:lineRule="auto"/>
      </w:pPr>
      <w:r>
        <w:rPr>
          <w:rFonts w:ascii="Noto Sans CJK SC" w:hAnsi="Noto Sans CJK SC" w:eastAsia="Noto Sans CJK SC" w:cs="Noto Sans CJK SC"/>
          <w:color w:val="334E68"/>
          <w:sz w:val="17"/>
        </w:rPr>
        <w:t>[sec-token-int] SEC：加密资产与证券法解释文件（2026）：https://www.sec.gov/files/rules/interp/2026/33-11412.pdf</w:t>
      </w:r>
      <w:r>
        <w:rPr>
          <w:rFonts w:ascii="Noto Sans CJK SC" w:hAnsi="Noto Sans CJK SC" w:eastAsia="Noto Sans CJK SC" w:cs="Noto Sans CJK SC"/>
          <w:color w:val="627D98"/>
          <w:sz w:val="17"/>
        </w:rPr>
        <w:t>（2026年3月23日生效的委员会解释文件。）</w:t>
      </w:r>
    </w:p>
    <w:p>
      <w:pPr>
        <w:pStyle w:val="ListBullet"/>
        <w:spacing w:before="0" w:after="60" w:line="312" w:lineRule="auto"/>
      </w:pPr>
      <w:r>
        <w:rPr>
          <w:rFonts w:ascii="Noto Sans CJK SC" w:hAnsi="Noto Sans CJK SC" w:eastAsia="Noto Sans CJK SC" w:cs="Noto Sans CJK SC"/>
          <w:color w:val="334E68"/>
          <w:sz w:val="17"/>
        </w:rPr>
        <w:t>[sec-exempt] SEC：豁免发行总览：https://www.sec.gov/resources-small-businesses/exempt-offerings</w:t>
      </w:r>
    </w:p>
    <w:p>
      <w:pPr>
        <w:pStyle w:val="ListBullet"/>
        <w:spacing w:before="0" w:after="60" w:line="312" w:lineRule="auto"/>
      </w:pPr>
      <w:r>
        <w:rPr>
          <w:rFonts w:ascii="Noto Sans CJK SC" w:hAnsi="Noto Sans CJK SC" w:eastAsia="Noto Sans CJK SC" w:cs="Noto Sans CJK SC"/>
          <w:color w:val="334E68"/>
          <w:sz w:val="17"/>
        </w:rPr>
        <w:t>[sec-506] SEC：Regulation D Rule 506 指引：https://www.sec.gov/answers/rule506.htm</w:t>
      </w:r>
    </w:p>
    <w:p>
      <w:pPr>
        <w:pStyle w:val="ListBullet"/>
        <w:spacing w:before="0" w:after="60" w:line="312" w:lineRule="auto"/>
      </w:pPr>
      <w:r>
        <w:rPr>
          <w:rFonts w:ascii="Noto Sans CJK SC" w:hAnsi="Noto Sans CJK SC" w:eastAsia="Noto Sans CJK SC" w:cs="Noto Sans CJK SC"/>
          <w:color w:val="334E68"/>
          <w:sz w:val="17"/>
        </w:rPr>
        <w:t>[sec-formd-faq] SEC：Form D 常见问答：https://www.sec.gov/about/divisions-offices/division-corporation-finance/frequently-asked-questions-answers-form-d</w:t>
      </w:r>
    </w:p>
    <w:p>
      <w:pPr>
        <w:pStyle w:val="ListBullet"/>
        <w:spacing w:before="0" w:after="60" w:line="312" w:lineRule="auto"/>
      </w:pPr>
      <w:r>
        <w:rPr>
          <w:rFonts w:ascii="Noto Sans CJK SC" w:hAnsi="Noto Sans CJK SC" w:eastAsia="Noto Sans CJK SC" w:cs="Noto Sans CJK SC"/>
          <w:color w:val="334E68"/>
          <w:sz w:val="17"/>
        </w:rPr>
        <w:t>[sec-no-approval] SEC：警示文件提交不等于SEC批准：https://www.sec.gov/oiea/investor-alerts-and-bulletins/ia_secapproved</w:t>
      </w:r>
    </w:p>
    <w:p>
      <w:pPr>
        <w:pStyle w:val="ListBullet"/>
        <w:spacing w:before="0" w:after="60" w:line="312" w:lineRule="auto"/>
      </w:pPr>
      <w:r>
        <w:rPr>
          <w:rFonts w:ascii="Noto Sans CJK SC" w:hAnsi="Noto Sans CJK SC" w:eastAsia="Noto Sans CJK SC" w:cs="Noto Sans CJK SC"/>
          <w:color w:val="334E68"/>
          <w:sz w:val="17"/>
        </w:rPr>
        <w:t>[sec-regs] SEC：境外发行人及Regulation S概览：https://www.sec.gov/divisions/corpfin/internatl/foreign-private-issuers-overview.shtml</w:t>
      </w:r>
    </w:p>
    <w:p>
      <w:pPr>
        <w:pStyle w:val="ListBullet"/>
        <w:spacing w:before="0" w:after="60" w:line="312" w:lineRule="auto"/>
      </w:pPr>
      <w:r>
        <w:rPr>
          <w:rFonts w:ascii="Noto Sans CJK SC" w:hAnsi="Noto Sans CJK SC" w:eastAsia="Noto Sans CJK SC" w:cs="Noto Sans CJK SC"/>
          <w:color w:val="334E68"/>
          <w:sz w:val="17"/>
        </w:rPr>
        <w:t>[sec-rule144] SEC：Rule 144 受限证券与控制证券出售：https://www.sec.gov/reports/rule-144-selling-restricted-control-securities</w:t>
      </w:r>
    </w:p>
    <w:p>
      <w:pPr>
        <w:pStyle w:val="ListBullet"/>
        <w:spacing w:before="0" w:after="60" w:line="312" w:lineRule="auto"/>
      </w:pPr>
      <w:r>
        <w:rPr>
          <w:rFonts w:ascii="Noto Sans CJK SC" w:hAnsi="Noto Sans CJK SC" w:eastAsia="Noto Sans CJK SC" w:cs="Noto Sans CJK SC"/>
          <w:color w:val="334E68"/>
          <w:sz w:val="17"/>
        </w:rPr>
        <w:t>[sec-exempt-faq] SEC：豁免发行常见问题与反欺诈规则：https://www.sec.gov/resources-small-businesses/exempt-offerings/frequently-asked-questions-about-exempt-offerings</w:t>
      </w:r>
    </w:p>
    <w:p>
      <w:pPr>
        <w:pStyle w:val="ListBullet"/>
        <w:spacing w:before="0" w:after="60" w:line="312" w:lineRule="auto"/>
      </w:pPr>
      <w:r>
        <w:rPr>
          <w:rFonts w:ascii="Noto Sans CJK SC" w:hAnsi="Noto Sans CJK SC" w:eastAsia="Noto Sans CJK SC" w:cs="Noto Sans CJK SC"/>
          <w:color w:val="334E68"/>
          <w:sz w:val="17"/>
        </w:rPr>
        <w:t>[sec-bd] SEC：经纪交易商注册指南：https://www.sec.gov/about/divisions-offices/division-trading-markets/division-trading-markets-compliance-guides/guide-broker-dealer-registration</w:t>
      </w:r>
    </w:p>
    <w:p>
      <w:pPr>
        <w:pStyle w:val="ListBullet"/>
        <w:spacing w:before="0" w:after="60" w:line="312" w:lineRule="auto"/>
      </w:pPr>
      <w:r>
        <w:rPr>
          <w:rFonts w:ascii="Noto Sans CJK SC" w:hAnsi="Noto Sans CJK SC" w:eastAsia="Noto Sans CJK SC" w:cs="Noto Sans CJK SC"/>
          <w:color w:val="334E68"/>
          <w:sz w:val="17"/>
        </w:rPr>
        <w:t>[sec-ats] SEC：另类交易系统（ATS）清单与Form ATS说明：https://www.sec.gov/foia/frequently-requested-documents/alternative-trading-system-ats-list</w:t>
      </w:r>
    </w:p>
    <w:p>
      <w:pPr>
        <w:pStyle w:val="ListBullet"/>
        <w:spacing w:before="0" w:after="60" w:line="312" w:lineRule="auto"/>
      </w:pPr>
      <w:r>
        <w:rPr>
          <w:rFonts w:ascii="Noto Sans CJK SC" w:hAnsi="Noto Sans CJK SC" w:eastAsia="Noto Sans CJK SC" w:cs="Noto Sans CJK SC"/>
          <w:color w:val="334E68"/>
          <w:sz w:val="17"/>
        </w:rPr>
        <w:t>[sec-dlt] SEC：加密资产活动与分布式账本技术问答：https://www.sec.gov/rules-regulations/staff-guidance/trading-markets-frequently-asked-questions/frequently-asked-questions-relating-crypto-asset-activities-distributed-ledger-technology</w:t>
      </w:r>
    </w:p>
    <w:p>
      <w:pPr>
        <w:pStyle w:val="ListBullet"/>
        <w:spacing w:before="0" w:after="60" w:line="312" w:lineRule="auto"/>
      </w:pPr>
      <w:r>
        <w:rPr>
          <w:rFonts w:ascii="Noto Sans CJK SC" w:hAnsi="Noto Sans CJK SC" w:eastAsia="Noto Sans CJK SC" w:cs="Noto Sans CJK SC"/>
          <w:color w:val="334E68"/>
          <w:sz w:val="17"/>
        </w:rPr>
        <w:t>[finra-1017] FINRA Rule 1017：所有权、控制权或业务变动审批申请：https://www.finra.org/rules-guidance/rulebooks/finra-rules/1017</w:t>
      </w:r>
    </w:p>
    <w:p>
      <w:pPr>
        <w:pStyle w:val="ListBullet"/>
        <w:spacing w:before="0" w:after="60" w:line="312" w:lineRule="auto"/>
      </w:pPr>
      <w:r>
        <w:rPr>
          <w:rFonts w:ascii="Noto Sans CJK SC" w:hAnsi="Noto Sans CJK SC" w:eastAsia="Noto Sans CJK SC" w:cs="Noto Sans CJK SC"/>
          <w:color w:val="334E68"/>
          <w:sz w:val="17"/>
        </w:rPr>
        <w:t>[finra-control] FINRA：所有权或控制权变更：https://www.finra.org/registration-exams-ce/broker-dealers/update/ownership-control</w:t>
      </w:r>
    </w:p>
    <w:tbl>
      <w:tblPr>
        <w:tblW w:type="auto" w:w="0"/>
        <w:tblLook w:firstColumn="1" w:firstRow="1" w:lastColumn="0" w:lastRow="0" w:noHBand="0" w:noVBand="1" w:val="04A0"/>
      </w:tblPr>
      <w:tblGrid>
        <w:gridCol w:w="9638"/>
      </w:tblGrid>
      <w:tr>
        <w:tc>
          <w:tcPr>
            <w:tcW w:type="dxa" w:w="9638"/>
            <w:shd w:fill="102A43"/>
          </w:tcPr>
          <w:p>
            <w:pPr>
              <w:spacing w:before="0" w:after="100" w:line="324" w:lineRule="auto"/>
            </w:pPr>
            <w:r>
              <w:rPr>
                <w:rFonts w:ascii="Noto Sans CJK SC" w:hAnsi="Noto Sans CJK SC" w:eastAsia="Noto Sans CJK SC" w:cs="Noto Sans CJK SC"/>
                <w:b/>
                <w:color w:val="FFFFFF"/>
                <w:sz w:val="28"/>
              </w:rPr>
              <w:t>阅读、下载后再开始一场有准备的沟通</w:t>
            </w:r>
          </w:p>
          <w:p>
            <w:pPr>
              <w:spacing w:before="0" w:after="100" w:line="348" w:lineRule="auto"/>
            </w:pPr>
            <w:r>
              <w:rPr>
                <w:rFonts w:ascii="Noto Sans CJK SC" w:hAnsi="Noto Sans CJK SC" w:eastAsia="Noto Sans CJK SC" w:cs="Noto Sans CJK SC"/>
                <w:color w:val="FFFFFF"/>
                <w:sz w:val="19"/>
              </w:rPr>
              <w:t>官网：https://sto-us.com。建议先阅读“美国STO发行合规申请”与“美国STO发行合规完整指南”，并在“美国STO来源与项目下载”中心获取资料。随后可联系唐上永（唐生）：Drew@sfc8.com；WhatsApp +852 9298 4213；内地 +86 159 2000 2080。预约与具体服务范围须人工确认。</w:t>
            </w:r>
          </w:p>
          <w:p>
            <w:pPr>
              <w:spacing w:before="0" w:after="0" w:line="312" w:lineRule="auto"/>
            </w:pPr>
            <w:r>
              <w:rPr>
                <w:rFonts w:ascii="Noto Sans CJK SC" w:hAnsi="Noto Sans CJK SC" w:eastAsia="Noto Sans CJK SC" w:cs="Noto Sans CJK SC"/>
                <w:b/>
                <w:color w:val="E8C28A"/>
                <w:sz w:val="19"/>
              </w:rPr>
              <w:t>访问 sto-us.com 阅读与下载</w:t>
            </w:r>
          </w:p>
        </w:tc>
      </w:tr>
    </w:tbl>
    <w:p>
      <w:pPr>
        <w:pStyle w:val="Heading2"/>
        <w:spacing w:before="240" w:after="80"/>
      </w:pPr>
      <w:r>
        <w:rPr>
          <w:rFonts w:ascii="Noto Sans CJK SC" w:hAnsi="Noto Sans CJK SC" w:eastAsia="Noto Sans CJK SC" w:cs="Noto Sans CJK SC"/>
          <w:b/>
          <w:color w:val="102A43"/>
          <w:sz w:val="23"/>
        </w:rPr>
        <w:t>免责声明</w:t>
      </w:r>
    </w:p>
    <w:p>
      <w:pPr>
        <w:spacing w:before="0" w:after="0" w:line="336" w:lineRule="auto"/>
      </w:pPr>
      <w:r>
        <w:rPr>
          <w:rFonts w:ascii="Noto Sans CJK SC" w:hAnsi="Noto Sans CJK SC" w:eastAsia="Noto Sans CJK SC" w:cs="Noto Sans CJK SC"/>
          <w:color w:val="627D98"/>
          <w:sz w:val="17"/>
        </w:rPr>
        <w:t>本文为仁港永胜（香港）有限公司的市场推广与一般信息材料，不构成美国或任何司法辖区的法律、证券、税务或投资意见，不构成任何证券的要约、要约邀请、推荐或投资建议。具体发行、招揽、交易、托管、转让、收购或持续义务，应由具备相应资格的美国律师及受监管专业机构按交易当时事实和规则独立确认。</w:t>
      </w:r>
    </w:p>
    <w:sectPr w:rsidR="00FC693F" w:rsidRPr="0006063C" w:rsidSect="00034616">
      <w:headerReference w:type="default" r:id="rId9"/>
      <w:footerReference w:type="default" r:id="rId10"/>
      <w:pgSz w:w="11906" w:h="16838"/>
      <w:pgMar w:top="1134" w:right="1134" w:bottom="1020"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ayout w:type="fixed"/>
      <w:tblLook w:firstColumn="1" w:firstRow="1" w:lastColumn="0" w:lastRow="0" w:noHBand="0" w:noVBand="1" w:val="04A0"/>
    </w:tblPr>
    <w:tblGrid>
      <w:gridCol w:w="7087"/>
      <w:gridCol w:w="2551"/>
    </w:tblGrid>
    <w:tr>
      <w:tc>
        <w:tcPr>
          <w:tcW w:type="dxa" w:w="4819"/>
          <w:tcBorders>
            <w:top w:val="single" w:sz="10" w:color="B47B45"/>
            <w:left w:val="nil"/>
            <w:bottom w:val="nil"/>
            <w:right w:val="nil"/>
          </w:tcBorders>
        </w:tcPr>
        <w:p>
          <w:pPr>
            <w:spacing w:before="60" w:after="0"/>
          </w:pPr>
          <w:r>
            <w:rPr>
              <w:rFonts w:ascii="Noto Sans CJK SC" w:hAnsi="Noto Sans CJK SC" w:eastAsia="Noto Sans CJK SC" w:cs="Noto Sans CJK SC"/>
              <w:color w:val="627D98"/>
              <w:sz w:val="15"/>
            </w:rPr>
            <w:t>Drew@sfc8.com  ·  WhatsApp +852 9298 4213  ·  sto-us.com</w:t>
          </w:r>
        </w:p>
      </w:tc>
      <w:tc>
        <w:tcPr>
          <w:tcW w:type="dxa" w:w="4819"/>
          <w:tcBorders>
            <w:top w:val="single" w:sz="10" w:color="B47B45"/>
            <w:left w:val="nil"/>
            <w:bottom w:val="nil"/>
            <w:right w:val="nil"/>
          </w:tcBorders>
        </w:tcPr>
        <w:p>
          <w:pPr>
            <w:spacing w:before="60" w:after="0"/>
            <w:jc w:val="right"/>
          </w:pPr>
          <w:r>
            <w:rPr>
              <w:rFonts w:ascii="Noto Sans CJK SC" w:hAnsi="Noto Sans CJK SC" w:eastAsia="Noto Sans CJK SC" w:cs="Noto Sans CJK SC"/>
              <w:color w:val="627D98"/>
              <w:sz w:val="15"/>
            </w:rPr>
          </w:r>
          <w:r>
            <w:rPr>
              <w:rFonts w:ascii="Noto Sans CJK SC" w:hAnsi="Noto Sans CJK SC" w:eastAsia="Noto Sans CJK SC" w:cs="Noto Sans CJK SC"/>
              <w:color w:val="627D98"/>
              <w:sz w:val="15"/>
            </w:rPr>
            <w:t xml:space="preserve">第 </w:t>
          </w:r>
          <w:fldSimple w:instr="PAGE"/>
          <w:r>
            <w:rPr>
              <w:rFonts w:ascii="Noto Sans CJK SC" w:hAnsi="Noto Sans CJK SC" w:eastAsia="Noto Sans CJK SC" w:cs="Noto Sans CJK SC"/>
              <w:color w:val="627D98"/>
              <w:sz w:val="15"/>
            </w:rPr>
            <w:t xml:space="preserve"> 页</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fixed"/>
      <w:tblLook w:firstColumn="1" w:firstRow="1" w:lastColumn="0" w:lastRow="0" w:noHBand="0" w:noVBand="1" w:val="04A0"/>
    </w:tblPr>
    <w:tblGrid>
      <w:gridCol w:w="1587"/>
      <w:gridCol w:w="8050"/>
    </w:tblGrid>
    <w:tr>
      <w:tc>
        <w:tcPr>
          <w:tcW w:type="dxa" w:w="1587"/>
          <w:vAlign w:val="center"/>
        </w:tcPr>
        <w:p>
          <w:pPr>
            <w:spacing w:after="0"/>
            <w:jc w:val="left"/>
          </w:pPr>
          <w:r>
            <w:drawing>
              <wp:inline xmlns:a="http://schemas.openxmlformats.org/drawingml/2006/main" xmlns:pic="http://schemas.openxmlformats.org/drawingml/2006/picture">
                <wp:extent cx="306000" cy="306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06000" cy="306000"/>
                        </a:xfrm>
                        <a:prstGeom prst="rect"/>
                      </pic:spPr>
                    </pic:pic>
                  </a:graphicData>
                </a:graphic>
              </wp:inline>
            </w:drawing>
          </w:r>
        </w:p>
      </w:tc>
      <w:tc>
        <w:tcPr>
          <w:tcW w:type="dxa" w:w="8050"/>
          <w:vAlign w:val="center"/>
        </w:tcPr>
        <w:p>
          <w:pPr>
            <w:spacing w:after="0"/>
            <w:jc w:val="right"/>
          </w:pPr>
          <w:r>
            <w:rPr>
              <w:rFonts w:ascii="Noto Sans CJK SC" w:hAnsi="Noto Sans CJK SC" w:eastAsia="Noto Sans CJK SC" w:cs="Noto Sans CJK SC"/>
              <w:b/>
              <w:color w:val="102A43"/>
              <w:sz w:val="17"/>
            </w:rPr>
            <w:t>仁港永胜（香港）有限公司  |  RGYS INSIGHTS</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91" w:lineRule="auto" w:after="160"/>
    </w:pPr>
    <w:rPr>
      <w:rFonts w:ascii="Noto Sans CJK SC" w:hAnsi="Noto Sans CJK SC" w:eastAsia="Noto Sans CJK SC" w:cs="Noto Sans CJK SC"/>
      <w:b w:val="0"/>
      <w:color w:val="334E6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CJK SC" w:hAnsi="Noto Sans CJK SC" w:eastAsia="Noto Sans CJK SC" w:cs="Noto Sans CJK SC"/>
      <w:b/>
      <w:bCs/>
      <w:color w:val="102A43"/>
      <w:sz w:val="2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CJK SC" w:hAnsi="Noto Sans CJK SC" w:eastAsia="Noto Sans CJK SC" w:cs="Noto Sans CJK SC"/>
      <w:b/>
      <w:bCs/>
      <w:color w:val="102A4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CJK SC" w:hAnsi="Noto Sans CJK SC" w:eastAsia="Noto Sans CJK SC" w:cs="Noto Sans CJK SC"/>
      <w:b/>
      <w:color w:val="102A43"/>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Meta">
    <w:name w:val="Article Meta"/>
    <w:rPr>
      <w:rFonts w:ascii="Noto Sans CJK SC" w:hAnsi="Noto Sans CJK SC" w:eastAsia="Noto Sans CJK SC" w:cs="Noto Sans CJK SC"/>
      <w:b/>
      <w:color w:val="B47B45"/>
      <w:sz w:val="19"/>
    </w:rPr>
  </w:style>
  <w:style w:type="paragraph" w:customStyle="1" w:styleId="ArticleByline">
    <w:name w:val="Article Byline"/>
    <w:rPr>
      <w:rFonts w:ascii="Noto Sans CJK SC" w:hAnsi="Noto Sans CJK SC" w:eastAsia="Noto Sans CJK SC" w:cs="Noto Sans CJK SC"/>
      <w:b w:val="0"/>
      <w:color w:val="627D98"/>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美国STO牌照申请：让代币化融资走上可验证的合规路径</dc:title>
  <dc:subject>面向股权、债权、资产权益与RWA项目负责人的美国证券型代币发行准备指南：厘清发行路径、投资者控制、中介准入与持续合规边界。</dc:subject>
  <dc:creator>仁港永胜（香港）有限公司｜唐上永（唐生）</dc:creator>
  <cp:keywords>美国STO牌照申请, 证券型代币发行, 美国STO申请条件, RWA合规, 代币化融资</cp:keywords>
  <dc:description>本文为市场推广与一般信息材料，不构成证券要约或法律、投资意见。</dc:description>
  <cp:lastModifiedBy/>
  <cp:revision>1</cp:revision>
  <dcterms:created xsi:type="dcterms:W3CDTF">2013-12-23T23:15:00Z</dcterms:created>
  <dcterms:modified xsi:type="dcterms:W3CDTF">2013-12-23T23:15:00Z</dcterms:modified>
  <cp:category/>
</cp:coreProperties>
</file>